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elvetica Light" w:hAnsi="Helvetica Light"/>
          <w:b/>
          <w:b/>
          <w:color w:val="002C50"/>
          <w:sz w:val="28"/>
        </w:rPr>
      </w:pPr>
      <w:r>
        <w:rPr>
          <w:rFonts w:ascii="Helvetica Light" w:hAnsi="Helvetica Light"/>
          <w:b/>
          <w:color w:val="002C50"/>
          <w:sz w:val="28"/>
        </w:rPr>
        <w:t>TAKUUEHDOT</w:t>
      </w:r>
    </w:p>
    <w:p>
      <w:pPr>
        <w:pStyle w:val="Normal"/>
        <w:rPr>
          <w:rFonts w:ascii="Helvetica Light" w:hAnsi="Helvetica Light"/>
        </w:rPr>
      </w:pPr>
      <w:r>
        <w:rPr>
          <w:rFonts w:ascii="Helvetica Light" w:hAnsi="Helvetica Light"/>
        </w:rPr>
        <w:t xml:space="preserve">Kiitos, että valitsit </w:t>
      </w:r>
      <w:r>
        <w:rPr>
          <w:rFonts w:ascii="Helvetica Light" w:hAnsi="Helvetica Light"/>
          <w:i/>
        </w:rPr>
        <w:t>Pro Patio Oy</w:t>
      </w:r>
      <w:r>
        <w:rPr>
          <w:rFonts w:ascii="Helvetica Light" w:hAnsi="Helvetica Light"/>
        </w:rPr>
        <w:t xml:space="preserve">:n (PP) toimittaman ulkoporealtaan! Parhaan käyttökokemuksen saat tutustumalla Omistajan oppaaseen. Noudattamalla ylläpito-ohjeita saat raikkaan ja kirkkaan kylpyveden. </w:t>
      </w:r>
    </w:p>
    <w:p>
      <w:pPr>
        <w:pStyle w:val="Normal"/>
        <w:rPr>
          <w:rFonts w:ascii="Helvetica Light" w:hAnsi="Helvetica Light"/>
        </w:rPr>
      </w:pPr>
      <w:r>
        <w:rPr>
          <w:rFonts w:ascii="Helvetica Light" w:hAnsi="Helvetica Light"/>
        </w:rPr>
      </w:r>
    </w:p>
    <w:p>
      <w:pPr>
        <w:pStyle w:val="Normal"/>
        <w:rPr>
          <w:rFonts w:ascii="Helvetica Light" w:hAnsi="Helvetica Light"/>
          <w:b/>
          <w:b/>
          <w:color w:val="002C50"/>
          <w:u w:val="single"/>
        </w:rPr>
      </w:pPr>
      <w:r>
        <w:rPr>
          <w:rFonts w:ascii="Helvetica Light" w:hAnsi="Helvetica Light"/>
          <w:b/>
          <w:color w:val="002C50"/>
          <w:u w:val="single"/>
        </w:rPr>
        <w:t>Tekninen takuu</w:t>
      </w:r>
    </w:p>
    <w:p>
      <w:pPr>
        <w:pStyle w:val="Normal"/>
        <w:rPr>
          <w:rFonts w:ascii="Helvetica Light" w:hAnsi="Helvetica Light"/>
        </w:rPr>
      </w:pPr>
      <w:r>
        <w:rPr>
          <w:rFonts w:ascii="Helvetica Light" w:hAnsi="Helvetica Light"/>
          <w:color w:val="auto"/>
        </w:rPr>
        <w:t>Tekninen takuu</w:t>
      </w:r>
      <w:r>
        <w:rPr>
          <w:rFonts w:ascii="Helvetica Light" w:hAnsi="Helvetica Light"/>
          <w:strike/>
          <w:color w:val="auto"/>
        </w:rPr>
        <w:t xml:space="preserve"> </w:t>
      </w:r>
      <w:r>
        <w:rPr>
          <w:rFonts w:ascii="Helvetica Light" w:hAnsi="Helvetica Light"/>
          <w:strike w:val="false"/>
          <w:dstrike w:val="false"/>
          <w:color w:val="auto"/>
        </w:rPr>
        <w:t xml:space="preserve">on </w:t>
      </w:r>
      <w:r>
        <w:rPr>
          <w:rFonts w:ascii="Helvetica Light" w:hAnsi="Helvetica Light"/>
          <w:color w:val="auto"/>
        </w:rPr>
        <w:t xml:space="preserve">kaksi (2) vuotta toimituspäivästä yksityiskäytössä. Yrityksille ja yhteisöille vastaava takuu on kolme(3) kuukautta. Tekninen takuu sisältää laitteiston (pumpput, lämmittimet, ohjauspaneelin, keskusyksikkön </w:t>
      </w:r>
      <w:r>
        <w:rPr>
          <w:rFonts w:ascii="Helvetica Light" w:hAnsi="Helvetica Light"/>
          <w:strike w:val="false"/>
          <w:dstrike w:val="false"/>
          <w:color w:val="auto"/>
        </w:rPr>
        <w:t>ja muut mahdolliset tekniset laitteet)</w:t>
      </w:r>
      <w:r>
        <w:rPr>
          <w:rFonts w:ascii="Helvetica Light" w:hAnsi="Helvetica Light"/>
          <w:color w:val="auto"/>
        </w:rPr>
        <w:t>, sekä putkiston. Sulakkeet, ja tiivisteet eivät kuulu takuun piiriin.</w:t>
      </w:r>
      <w:r>
        <w:rPr>
          <w:rFonts w:ascii="Helvetica Light" w:hAnsi="Helvetica Light"/>
        </w:rPr>
        <w:t xml:space="preserve"> </w:t>
      </w:r>
    </w:p>
    <w:p>
      <w:pPr>
        <w:pStyle w:val="Normal"/>
        <w:rPr>
          <w:strike/>
        </w:rPr>
      </w:pPr>
      <w:r>
        <w:rPr>
          <w:strike/>
        </w:rPr>
      </w:r>
    </w:p>
    <w:p>
      <w:pPr>
        <w:pStyle w:val="Normal"/>
        <w:rPr>
          <w:rFonts w:ascii="Helvetica Light" w:hAnsi="Helvetica Light"/>
          <w:b/>
          <w:b/>
          <w:color w:val="002C50"/>
          <w:u w:val="single"/>
        </w:rPr>
      </w:pPr>
      <w:r>
        <w:rPr>
          <w:rFonts w:ascii="Helvetica Light" w:hAnsi="Helvetica Light"/>
          <w:b/>
          <w:color w:val="002C50"/>
          <w:u w:val="single"/>
        </w:rPr>
        <w:t>Allaskuori- ja runkotakuu</w:t>
      </w:r>
    </w:p>
    <w:p>
      <w:pPr>
        <w:pStyle w:val="Normal"/>
        <w:rPr>
          <w:color w:val="auto"/>
        </w:rPr>
      </w:pPr>
      <w:r>
        <w:rPr>
          <w:rFonts w:ascii="Helvetica Light" w:hAnsi="Helvetica Light"/>
          <w:color w:val="auto"/>
        </w:rPr>
        <w:t>Runkotakuu on kaksi (2) vuotta yksityiskäytössä, yrityksille ja yhteisöille kolme(3) kuukautta. Runko takuu kattaa  valmistusvirheestä johtuvan allasrungon ja allaskuoren rikkoontumisen,materiaalin halkeamat, säröt ja osmoosin (kuplien muodostuminen).</w:t>
      </w:r>
    </w:p>
    <w:p>
      <w:pPr>
        <w:pStyle w:val="Normal"/>
        <w:rPr>
          <w:rFonts w:ascii="Helvetica Light" w:hAnsi="Helvetica Light"/>
          <w:b/>
          <w:b/>
          <w:color w:val="002C50"/>
          <w:u w:val="single"/>
        </w:rPr>
      </w:pPr>
      <w:r>
        <w:rPr>
          <w:rFonts w:ascii="Helvetica Light" w:hAnsi="Helvetica Light"/>
          <w:b/>
          <w:color w:val="002C50"/>
          <w:u w:val="single"/>
        </w:rPr>
        <w:t>Takuuhuollot</w:t>
      </w:r>
    </w:p>
    <w:p>
      <w:pPr>
        <w:pStyle w:val="Normal"/>
        <w:rPr>
          <w:rFonts w:ascii="Helvetica Light" w:hAnsi="Helvetica Light"/>
        </w:rPr>
      </w:pPr>
      <w:r>
        <w:rPr>
          <w:rFonts w:ascii="Helvetica Light" w:hAnsi="Helvetica Light"/>
          <w:color w:val="auto"/>
        </w:rPr>
        <w:t xml:space="preserve">Aiheelliseksi todetun takuuilmoituksen perusteella myyjä korjaa tai vaihtaa virheellisen tuotteen. Korjaus tai vaihto tapahtuu pääsääntöisesti myyjän kustannuksella. Myyjä on oikeutettu käyttämään itselleen edullisinta vaihtoehtoa. </w:t>
      </w:r>
      <w:r>
        <w:rPr>
          <w:rFonts w:ascii="Helvetica Light" w:hAnsi="Helvetica Light"/>
        </w:rPr>
        <w:t xml:space="preserve"> </w:t>
      </w:r>
    </w:p>
    <w:p>
      <w:pPr>
        <w:pStyle w:val="Normal"/>
        <w:rPr>
          <w:rFonts w:ascii="Helvetica Light" w:hAnsi="Helvetica Light"/>
        </w:rPr>
      </w:pPr>
      <w:r>
        <w:rPr>
          <w:rFonts w:ascii="Helvetica Light" w:hAnsi="Helvetica Light"/>
          <w:color w:val="auto"/>
        </w:rPr>
        <w:t xml:space="preserve">Huoltomiehellä on oltava esteetön pääsy altaan sivuille, ja altaan kylkipaneelit on pystyvvä avamaan.Terassin purkaminen, altaan siirtäminen ei kuulu takuu piiriin. </w:t>
      </w:r>
      <w:r>
        <w:rPr>
          <w:rFonts w:ascii="Helvetica Light" w:hAnsi="Helvetica Light"/>
          <w:strike/>
          <w:color w:val="auto"/>
        </w:rPr>
        <w:t>.</w:t>
      </w:r>
      <w:r>
        <w:rPr>
          <w:rFonts w:ascii="Helvetica Light" w:hAnsi="Helvetica Light"/>
          <w:color w:val="auto"/>
        </w:rPr>
        <w:t xml:space="preserve"> Aiheettomasta huoltokäynnistä laskutetaan tunnit ja ajokilometrit</w:t>
      </w:r>
      <w:r>
        <w:rPr>
          <w:rFonts w:ascii="Helvetica Light" w:hAnsi="Helvetica Light"/>
        </w:rPr>
        <w:t xml:space="preserve">. </w:t>
      </w:r>
      <w:bookmarkStart w:id="0" w:name="_GoBack"/>
      <w:bookmarkEnd w:id="0"/>
    </w:p>
    <w:p>
      <w:pPr>
        <w:pStyle w:val="Normal"/>
        <w:rPr>
          <w:rFonts w:ascii="Helvetica Light" w:hAnsi="Helvetica Light"/>
          <w:b/>
          <w:b/>
          <w:color w:val="002C50"/>
          <w:u w:val="single"/>
        </w:rPr>
      </w:pPr>
      <w:r>
        <w:rPr>
          <w:rFonts w:ascii="Helvetica Light" w:hAnsi="Helvetica Light"/>
          <w:b/>
          <w:color w:val="002C50"/>
          <w:u w:val="single"/>
        </w:rPr>
        <w:t>Rajoitukset</w:t>
      </w:r>
    </w:p>
    <w:p>
      <w:pPr>
        <w:pStyle w:val="Normal"/>
        <w:rPr>
          <w:color w:val="auto"/>
        </w:rPr>
      </w:pPr>
      <w:r>
        <w:rPr>
          <w:rFonts w:ascii="Helvetica Light" w:hAnsi="Helvetica Light"/>
          <w:color w:val="auto"/>
        </w:rPr>
        <w:t xml:space="preserve">Takuuseen ei sisälly väärästä käytöstä johtuvat viat ja ongelmat. Vääräksi käytöksi lasketaan mm. kemikaalien virheellinen käyttö, väärä asennus, väärät asetukset ohjuspaneelissa tai asiakkaan huolimattomuudesta aiheutuvat ongelmat (esim. liian alhainen vesiraja tai likaiset suodattimet). Käyttäjän on huolehdittava veden pH-arvon oikeellisuudesta.   </w:t>
      </w:r>
      <w:r>
        <w:rPr>
          <w:rFonts w:ascii="Helvetica Light" w:hAnsi="Helvetica Light"/>
          <w:i/>
          <w:color w:val="auto"/>
        </w:rPr>
        <w:t>Niskatyynyt , lämpökansi, otsonaattori, sekä UV-polttimet eivät kuulu takuun piiriin</w:t>
      </w:r>
      <w:r>
        <w:rPr>
          <w:rFonts w:ascii="Helvetica Light" w:hAnsi="Helvetica Light"/>
          <w:color w:val="auto"/>
        </w:rPr>
        <w:t xml:space="preserve"> vaan ne ovat kulutusosia </w:t>
      </w:r>
      <w:r>
        <w:rPr>
          <w:rFonts w:ascii="Helvetica Light" w:hAnsi="Helvetica Light"/>
          <w:strike/>
          <w:color w:val="auto"/>
        </w:rPr>
        <w:t>l</w:t>
      </w:r>
      <w:r>
        <w:rPr>
          <w:rFonts w:ascii="Helvetica Light" w:hAnsi="Helvetica Light"/>
          <w:color w:val="auto"/>
        </w:rPr>
        <w:t xml:space="preserve">. Lämpökansi ei ole tarkoitettu käveltäväksi tai istuinalustaksi. </w:t>
      </w:r>
    </w:p>
    <w:p>
      <w:pPr>
        <w:pStyle w:val="Normal"/>
        <w:rPr>
          <w:color w:val="auto"/>
        </w:rPr>
      </w:pPr>
      <w:r>
        <w:rPr>
          <w:rFonts w:ascii="Helvetica Light" w:hAnsi="Helvetica Light"/>
          <w:strike w:val="false"/>
          <w:dstrike w:val="false"/>
          <w:color w:val="auto"/>
        </w:rPr>
        <w:t xml:space="preserve">Myyjä tai valmistaja ei korvaa tuotteen virheen tai häiriön ostajalle aiheuttamia kuluja, liiketoiminnan estymisen aiheuttamaa tappiota, eikä muutakaan välitöntä tai välillistä vahinkoa </w:t>
      </w:r>
    </w:p>
    <w:p>
      <w:pPr>
        <w:pStyle w:val="Normal"/>
        <w:spacing w:before="0" w:after="160"/>
        <w:jc w:val="center"/>
        <w:rPr>
          <w:rFonts w:ascii="Helvetica Light" w:hAnsi="Helvetica Light"/>
        </w:rPr>
      </w:pPr>
      <w:r>
        <w:drawing>
          <wp:anchor behindDoc="1" distT="0" distB="0" distL="0" distR="0" simplePos="0" locked="0" layoutInCell="0" allowOverlap="1" relativeHeight="2">
            <wp:simplePos x="0" y="0"/>
            <wp:positionH relativeFrom="column">
              <wp:posOffset>1877695</wp:posOffset>
            </wp:positionH>
            <wp:positionV relativeFrom="paragraph">
              <wp:posOffset>-33020</wp:posOffset>
            </wp:positionV>
            <wp:extent cx="3155315" cy="802005"/>
            <wp:effectExtent l="0" t="0" r="0" b="0"/>
            <wp:wrapNone/>
            <wp:docPr id="1" name="Kuv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descr=""/>
                    <pic:cNvPicPr>
                      <a:picLocks noChangeAspect="1" noChangeArrowheads="1"/>
                    </pic:cNvPicPr>
                  </pic:nvPicPr>
                  <pic:blipFill>
                    <a:blip r:embed="rId2"/>
                    <a:stretch>
                      <a:fillRect/>
                    </a:stretch>
                  </pic:blipFill>
                  <pic:spPr bwMode="auto">
                    <a:xfrm>
                      <a:off x="0" y="0"/>
                      <a:ext cx="3155315" cy="802005"/>
                    </a:xfrm>
                    <a:prstGeom prst="rect">
                      <a:avLst/>
                    </a:prstGeom>
                  </pic:spPr>
                </pic:pic>
              </a:graphicData>
            </a:graphic>
          </wp:anchor>
        </w:drawing>
      </w:r>
      <w:r>
        <w:rPr/>
        <w:t xml:space="preserve">  </w:t>
      </w:r>
    </w:p>
    <w:sectPr>
      <w:type w:val="nextPage"/>
      <w:pgSz w:w="11906" w:h="16838"/>
      <w:pgMar w:left="720" w:right="720" w:header="0" w:top="720" w:footer="0" w:bottom="720" w:gutter="0"/>
      <w:pgBorders w:display="allPages" w:offsetFrom="text">
        <w:top w:val="single" w:sz="36" w:space="8" w:color="002C50"/>
        <w:left w:val="single" w:sz="36" w:space="8" w:color="002C50"/>
        <w:bottom w:val="single" w:sz="36" w:space="8" w:color="002C50"/>
        <w:right w:val="single" w:sz="36" w:space="8" w:color="002C5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Light">
    <w:charset w:val="00"/>
    <w:family w:val="roman"/>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suppressAutoHyphens w:val="true"/>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character" w:styleId="DefaultParagraphFont" w:default="1">
    <w:name w:val="Default Paragraph Font"/>
    <w:uiPriority w:val="1"/>
    <w:semiHidden/>
    <w:unhideWhenUsed/>
    <w:qFormat/>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FDC9BA1799DAF48B105A4C363C89573" ma:contentTypeVersion="13" ma:contentTypeDescription="Luo uusi asiakirja." ma:contentTypeScope="" ma:versionID="1097d20330e2fd4d9be348b551174914">
  <xsd:schema xmlns:xsd="http://www.w3.org/2001/XMLSchema" xmlns:xs="http://www.w3.org/2001/XMLSchema" xmlns:p="http://schemas.microsoft.com/office/2006/metadata/properties" xmlns:ns2="a23090ec-618f-44a4-be21-2121c63f99df" xmlns:ns3="af74b594-6c17-4865-b69a-bcf7a463da6e" targetNamespace="http://schemas.microsoft.com/office/2006/metadata/properties" ma:root="true" ma:fieldsID="53d06d8e8dbe67a02bb677e511071686" ns2:_="" ns3:_="">
    <xsd:import namespace="a23090ec-618f-44a4-be21-2121c63f99df"/>
    <xsd:import namespace="af74b594-6c17-4865-b69a-bcf7a463da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090ec-618f-44a4-be21-2121c63f99df"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4b594-6c17-4865-b69a-bcf7a463da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328AD-F534-4D6C-B605-F788D3F3CA81}"/>
</file>

<file path=customXml/itemProps2.xml><?xml version="1.0" encoding="utf-8"?>
<ds:datastoreItem xmlns:ds="http://schemas.openxmlformats.org/officeDocument/2006/customXml" ds:itemID="{A966C378-1CB2-49C0-A07A-82C9AA52610A}"/>
</file>

<file path=customXml/itemProps3.xml><?xml version="1.0" encoding="utf-8"?>
<ds:datastoreItem xmlns:ds="http://schemas.openxmlformats.org/officeDocument/2006/customXml" ds:itemID="{20A09473-066A-4194-BA30-C947E4963479}"/>
</file>

<file path=docProps/app.xml><?xml version="1.0" encoding="utf-8"?>
<Properties xmlns="http://schemas.openxmlformats.org/officeDocument/2006/extended-properties" xmlns:vt="http://schemas.openxmlformats.org/officeDocument/2006/docPropsVTypes">
  <Template>Normal.dotm</Template>
  <TotalTime>35</TotalTime>
  <Application>LibreOffice/7.1.8.1$Windows_X86_64 LibreOffice_project/e1f30c802c3269a1d052614453f260e49458c82c</Application>
  <AppVersion>15.0000</AppVersion>
  <Pages>1</Pages>
  <Words>228</Words>
  <Characters>1816</Characters>
  <CharactersWithSpaces>2044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2018-10-01T10:15:00Z</dcterms:created>
  <dc:creator>Glenmoor Drive</dc:creator>
  <dc:description/>
  <dc:language>fi-FI</dc:language>
  <cp:lastModifiedBy/>
  <cp:lastPrinted>2018-10-01T10:15:00Z</cp:lastPrinted>
  <dcterms:modified xsi:type="dcterms:W3CDTF">2022-10-06T17:01:46Z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0x010100CFDC9BA1799DAF48B105A4C363C89573</vt:lpwstr>
  </property>
</Properties>
</file>